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59" w:rsidRDefault="004675B8">
      <w:pPr>
        <w:tabs>
          <w:tab w:val="left" w:pos="900"/>
          <w:tab w:val="left" w:pos="1260"/>
        </w:tabs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</w:rPr>
        <w:t>Сообщение о возможном установлении публичного сервитута</w:t>
      </w:r>
    </w:p>
    <w:p w:rsidR="009F3F59" w:rsidRDefault="009F3F59">
      <w:pPr>
        <w:tabs>
          <w:tab w:val="left" w:pos="900"/>
          <w:tab w:val="left" w:pos="1260"/>
        </w:tabs>
        <w:jc w:val="center"/>
        <w:rPr>
          <w:rFonts w:ascii="PT Astra Serif" w:hAnsi="PT Astra Serif"/>
          <w:sz w:val="26"/>
        </w:rPr>
      </w:pPr>
    </w:p>
    <w:p w:rsidR="009F3F59" w:rsidRDefault="004675B8">
      <w:pPr>
        <w:tabs>
          <w:tab w:val="left" w:pos="900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Министерством имущественных и земельных отношений Тульской области рассматривается ходатайство ПАО «</w:t>
      </w:r>
      <w:proofErr w:type="spellStart"/>
      <w:r>
        <w:rPr>
          <w:rFonts w:ascii="PT Astra Serif" w:hAnsi="PT Astra Serif"/>
          <w:sz w:val="26"/>
          <w:szCs w:val="26"/>
        </w:rPr>
        <w:t>Россети</w:t>
      </w:r>
      <w:proofErr w:type="spellEnd"/>
      <w:r>
        <w:rPr>
          <w:rFonts w:ascii="PT Astra Serif" w:hAnsi="PT Astra Serif"/>
          <w:sz w:val="26"/>
          <w:szCs w:val="26"/>
        </w:rPr>
        <w:t xml:space="preserve"> Центр и Приволжье» об установлении на 49 лет публичного сервитута на частях земельных </w:t>
      </w:r>
      <w:r>
        <w:rPr>
          <w:rFonts w:ascii="PT Astra Serif" w:hAnsi="PT Astra Serif"/>
          <w:sz w:val="26"/>
          <w:szCs w:val="26"/>
        </w:rPr>
        <w:t xml:space="preserve">участков с кадастровыми номерами согласно перечню (прилагается), расположенных на </w:t>
      </w:r>
      <w:proofErr w:type="gramStart"/>
      <w:r>
        <w:rPr>
          <w:rFonts w:ascii="PT Astra Serif" w:hAnsi="PT Astra Serif"/>
          <w:sz w:val="26"/>
          <w:szCs w:val="26"/>
        </w:rPr>
        <w:t>территории</w:t>
      </w:r>
      <w:proofErr w:type="gramEnd"/>
      <w:r>
        <w:rPr>
          <w:rFonts w:ascii="PT Astra Serif" w:hAnsi="PT Astra Serif"/>
          <w:sz w:val="26"/>
          <w:szCs w:val="26"/>
        </w:rPr>
        <w:t xml:space="preserve"> на территории муниципального образования городской округ город Тула Тульской области, в целях эксплуатации объекта электросетевого хозяйства:</w:t>
      </w:r>
      <w:r>
        <w:rPr>
          <w:rFonts w:ascii="PT Astra Serif" w:hAnsi="PT Astra Serif"/>
          <w:sz w:val="26"/>
          <w:szCs w:val="26"/>
        </w:rPr>
        <w:t xml:space="preserve"> «</w:t>
      </w:r>
      <w:proofErr w:type="gramStart"/>
      <w:r>
        <w:rPr>
          <w:rFonts w:ascii="PT Astra Serif" w:hAnsi="PT Astra Serif"/>
          <w:sz w:val="26"/>
          <w:szCs w:val="26"/>
        </w:rPr>
        <w:t>Воздушная</w:t>
      </w:r>
      <w:proofErr w:type="gramEnd"/>
      <w:r>
        <w:rPr>
          <w:rFonts w:ascii="PT Astra Serif" w:hAnsi="PT Astra Serif"/>
          <w:sz w:val="26"/>
          <w:szCs w:val="26"/>
        </w:rPr>
        <w:t xml:space="preserve"> ЛЭП 110 </w:t>
      </w:r>
      <w:proofErr w:type="spellStart"/>
      <w:r>
        <w:rPr>
          <w:rFonts w:ascii="PT Astra Serif" w:hAnsi="PT Astra Serif"/>
          <w:sz w:val="26"/>
          <w:szCs w:val="26"/>
        </w:rPr>
        <w:t>кВ</w:t>
      </w:r>
      <w:proofErr w:type="spellEnd"/>
      <w:r>
        <w:rPr>
          <w:rFonts w:ascii="PT Astra Serif" w:hAnsi="PT Astra Serif"/>
          <w:sz w:val="26"/>
          <w:szCs w:val="26"/>
        </w:rPr>
        <w:t xml:space="preserve"> «</w:t>
      </w:r>
      <w:proofErr w:type="spellStart"/>
      <w:r>
        <w:rPr>
          <w:rFonts w:ascii="PT Astra Serif" w:hAnsi="PT Astra Serif"/>
          <w:sz w:val="26"/>
          <w:szCs w:val="26"/>
        </w:rPr>
        <w:t>Оболенка-Шатская</w:t>
      </w:r>
      <w:proofErr w:type="spellEnd"/>
      <w:r>
        <w:rPr>
          <w:rFonts w:ascii="PT Astra Serif" w:hAnsi="PT Astra Serif"/>
          <w:sz w:val="26"/>
          <w:szCs w:val="26"/>
        </w:rPr>
        <w:t>».</w:t>
      </w:r>
    </w:p>
    <w:p w:rsidR="009F3F59" w:rsidRDefault="004675B8">
      <w:pPr>
        <w:ind w:firstLine="708"/>
        <w:jc w:val="both"/>
      </w:pPr>
      <w:proofErr w:type="gramStart"/>
      <w:r>
        <w:rPr>
          <w:rFonts w:ascii="PT Astra Serif" w:hAnsi="PT Astra Serif"/>
          <w:sz w:val="26"/>
          <w:szCs w:val="26"/>
        </w:rPr>
        <w:t xml:space="preserve">Ознакомиться с поступившим ходатайством и прилагаемым к нему описанием местоположения границ публичного сервитута заинтересованные лица могут по адресу: г. Тула, ул. </w:t>
      </w:r>
      <w:r>
        <w:rPr>
          <w:rFonts w:ascii="PT Astra Serif" w:hAnsi="PT Astra Serif"/>
          <w:sz w:val="26"/>
          <w:szCs w:val="26"/>
        </w:rPr>
        <w:t>Жаворонкова, д. 2, с понедельника по четверг с 9:00 до 13:00 и с 13:4</w:t>
      </w:r>
      <w:r>
        <w:rPr>
          <w:rFonts w:ascii="PT Astra Serif" w:hAnsi="PT Astra Serif"/>
          <w:sz w:val="26"/>
          <w:szCs w:val="26"/>
        </w:rPr>
        <w:t>8 до 18:00, в пятницу с 9:00 до 13:00 и с 13:48 до 17:00, а также на официальных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>сайтах</w:t>
      </w:r>
      <w:proofErr w:type="gramEnd"/>
      <w:r>
        <w:rPr>
          <w:rFonts w:ascii="PT Astra Serif" w:hAnsi="PT Astra Serif"/>
          <w:sz w:val="26"/>
          <w:szCs w:val="26"/>
        </w:rPr>
        <w:t xml:space="preserve"> mizo.tularegion.ru, </w:t>
      </w:r>
      <w:r>
        <w:rPr>
          <w:rStyle w:val="a6"/>
          <w:rFonts w:ascii="PT Astra Serif" w:hAnsi="PT Astra Serif"/>
          <w:b w:val="0"/>
          <w:bCs w:val="0"/>
          <w:sz w:val="26"/>
          <w:szCs w:val="26"/>
        </w:rPr>
        <w:t>tulacity.gosuslugi.ru</w:t>
      </w:r>
    </w:p>
    <w:p w:rsidR="009F3F59" w:rsidRDefault="004675B8">
      <w:pPr>
        <w:ind w:firstLine="708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Заявления правообладателей земельных участков об учете их прав (обременений) с копиями подтверждающих документов могут быть на</w:t>
      </w:r>
      <w:r>
        <w:rPr>
          <w:rFonts w:ascii="PT Astra Serif" w:hAnsi="PT Astra Serif"/>
          <w:sz w:val="26"/>
          <w:szCs w:val="26"/>
        </w:rPr>
        <w:t xml:space="preserve">правлены в министерство в течение пятнадцати дней со дня опубликования настоящего сообщения почтовым отправлением по адресу: 300012, г. Тула, ул. Жаворонкова, д. 2 или по адресу электронной почты: mizo@tularegion.ru по следующей форме: </w:t>
      </w:r>
    </w:p>
    <w:p w:rsidR="009F3F59" w:rsidRDefault="009F3F59">
      <w:pPr>
        <w:ind w:firstLine="708"/>
        <w:jc w:val="both"/>
        <w:rPr>
          <w:rFonts w:ascii="PT Astra Serif" w:hAnsi="PT Astra Serif"/>
          <w:sz w:val="26"/>
        </w:rPr>
      </w:pPr>
    </w:p>
    <w:tbl>
      <w:tblPr>
        <w:tblW w:w="10076" w:type="dxa"/>
        <w:tblLayout w:type="fixed"/>
        <w:tblLook w:val="04A0" w:firstRow="1" w:lastRow="0" w:firstColumn="1" w:lastColumn="0" w:noHBand="0" w:noVBand="1"/>
      </w:tblPr>
      <w:tblGrid>
        <w:gridCol w:w="1956"/>
        <w:gridCol w:w="2280"/>
        <w:gridCol w:w="1075"/>
        <w:gridCol w:w="1882"/>
        <w:gridCol w:w="2883"/>
      </w:tblGrid>
      <w:tr w:rsidR="009F3F59">
        <w:tc>
          <w:tcPr>
            <w:tcW w:w="10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4675B8">
            <w:pPr>
              <w:widowControl w:val="0"/>
              <w:tabs>
                <w:tab w:val="left" w:pos="900"/>
                <w:tab w:val="left" w:pos="1260"/>
              </w:tabs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Заявление об учете</w:t>
            </w:r>
            <w:r>
              <w:rPr>
                <w:rFonts w:ascii="PT Astra Serif" w:hAnsi="PT Astra Serif"/>
                <w:sz w:val="26"/>
              </w:rPr>
              <w:t xml:space="preserve"> прав (обременений) на земельный участок</w:t>
            </w:r>
          </w:p>
        </w:tc>
      </w:tr>
      <w:tr w:rsidR="009F3F59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4675B8">
            <w:pPr>
              <w:widowControl w:val="0"/>
              <w:tabs>
                <w:tab w:val="left" w:pos="900"/>
                <w:tab w:val="left" w:pos="1260"/>
              </w:tabs>
              <w:ind w:left="-142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ФИО правообладателя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4675B8">
            <w:pPr>
              <w:widowControl w:val="0"/>
              <w:tabs>
                <w:tab w:val="left" w:pos="900"/>
                <w:tab w:val="left" w:pos="1260"/>
              </w:tabs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Кадастровый номер земельного участка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4675B8">
            <w:pPr>
              <w:widowControl w:val="0"/>
              <w:tabs>
                <w:tab w:val="left" w:pos="900"/>
                <w:tab w:val="left" w:pos="1260"/>
              </w:tabs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вид права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4675B8">
            <w:pPr>
              <w:widowControl w:val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основание возникновения права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4675B8">
            <w:pPr>
              <w:widowControl w:val="0"/>
              <w:tabs>
                <w:tab w:val="left" w:pos="537"/>
              </w:tabs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почтовый адрес и/или адрес электронной почты правообладателя</w:t>
            </w:r>
          </w:p>
        </w:tc>
      </w:tr>
      <w:tr w:rsidR="009F3F59">
        <w:trPr>
          <w:trHeight w:val="101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9F3F5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6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9F3F5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6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9F3F5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6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9F3F5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6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9F3F5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6"/>
              </w:rPr>
            </w:pPr>
          </w:p>
        </w:tc>
      </w:tr>
      <w:tr w:rsidR="009F3F59">
        <w:tc>
          <w:tcPr>
            <w:tcW w:w="10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59" w:rsidRDefault="004675B8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Приложение: копия документа, подтверждающего </w:t>
            </w:r>
            <w:r>
              <w:rPr>
                <w:rFonts w:ascii="PT Astra Serif" w:hAnsi="PT Astra Serif"/>
                <w:sz w:val="26"/>
              </w:rPr>
              <w:t>право на земельный участок</w:t>
            </w:r>
          </w:p>
        </w:tc>
      </w:tr>
    </w:tbl>
    <w:p w:rsidR="009F3F59" w:rsidRDefault="009F3F59">
      <w:pPr>
        <w:tabs>
          <w:tab w:val="left" w:pos="900"/>
          <w:tab w:val="left" w:pos="1260"/>
        </w:tabs>
        <w:rPr>
          <w:rFonts w:ascii="PT Astra Serif" w:hAnsi="PT Astra Serif"/>
          <w:sz w:val="26"/>
        </w:rPr>
      </w:pPr>
    </w:p>
    <w:p w:rsidR="009F3F59" w:rsidRDefault="004675B8">
      <w:pPr>
        <w:rPr>
          <w:rFonts w:ascii="PT Astra Serif" w:hAnsi="PT Astra Serif"/>
          <w:sz w:val="26"/>
        </w:rPr>
      </w:pPr>
      <w:r>
        <w:br w:type="page"/>
      </w:r>
    </w:p>
    <w:p w:rsidR="009F3F59" w:rsidRDefault="004675B8">
      <w:pPr>
        <w:tabs>
          <w:tab w:val="left" w:pos="900"/>
          <w:tab w:val="left" w:pos="1260"/>
        </w:tabs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Перечень земельных участков, </w:t>
      </w:r>
      <w:r>
        <w:rPr>
          <w:rFonts w:ascii="PT Astra Serif" w:hAnsi="PT Astra Serif"/>
          <w:b/>
          <w:sz w:val="28"/>
        </w:rPr>
        <w:br/>
        <w:t>на частях которых планируется установление публичного сервитута</w:t>
      </w:r>
    </w:p>
    <w:p w:rsidR="009F3F59" w:rsidRDefault="009F3F59">
      <w:pPr>
        <w:pStyle w:val="a8"/>
      </w:pPr>
    </w:p>
    <w:tbl>
      <w:tblPr>
        <w:tblStyle w:val="af3"/>
        <w:tblW w:w="10182" w:type="dxa"/>
        <w:tblLayout w:type="fixed"/>
        <w:tblLook w:val="04A0" w:firstRow="1" w:lastRow="0" w:firstColumn="1" w:lastColumn="0" w:noHBand="0" w:noVBand="1"/>
      </w:tblPr>
      <w:tblGrid>
        <w:gridCol w:w="2735"/>
        <w:gridCol w:w="7447"/>
      </w:tblGrid>
      <w:tr w:rsidR="009F3F59">
        <w:tc>
          <w:tcPr>
            <w:tcW w:w="2735" w:type="dxa"/>
            <w:vAlign w:val="center"/>
          </w:tcPr>
          <w:p w:rsidR="009F3F59" w:rsidRDefault="004675B8">
            <w:pPr>
              <w:widowControl w:val="0"/>
              <w:tabs>
                <w:tab w:val="left" w:pos="900"/>
                <w:tab w:val="left" w:pos="1260"/>
              </w:tabs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Кадастровый номер</w:t>
            </w:r>
          </w:p>
        </w:tc>
        <w:tc>
          <w:tcPr>
            <w:tcW w:w="7446" w:type="dxa"/>
            <w:vAlign w:val="center"/>
          </w:tcPr>
          <w:p w:rsidR="009F3F59" w:rsidRDefault="004675B8">
            <w:pPr>
              <w:widowControl w:val="0"/>
              <w:tabs>
                <w:tab w:val="left" w:pos="900"/>
                <w:tab w:val="left" w:pos="1260"/>
              </w:tabs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Адрес (местоположение)</w:t>
            </w:r>
          </w:p>
        </w:tc>
      </w:tr>
      <w:tr w:rsidR="009F3F59">
        <w:tc>
          <w:tcPr>
            <w:tcW w:w="10181" w:type="dxa"/>
            <w:gridSpan w:val="2"/>
            <w:vAlign w:val="center"/>
          </w:tcPr>
          <w:p w:rsidR="009F3F59" w:rsidRDefault="004675B8">
            <w:pPr>
              <w:widowControl w:val="0"/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4"/>
              </w:rPr>
              <w:t>К№ 71:14:021001:1091 (</w:t>
            </w:r>
            <w:r>
              <w:rPr>
                <w:rFonts w:ascii="PT Astra Serif" w:hAnsi="PT Astra Serif"/>
                <w:color w:val="252625"/>
                <w:szCs w:val="24"/>
              </w:rPr>
              <w:t>Тульская область, Ленинский район, с/</w:t>
            </w:r>
            <w:proofErr w:type="gramStart"/>
            <w:r>
              <w:rPr>
                <w:rFonts w:ascii="PT Astra Serif" w:hAnsi="PT Astra Serif"/>
                <w:color w:val="252625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color w:val="252625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252625"/>
                <w:szCs w:val="24"/>
              </w:rPr>
              <w:t>Шатское</w:t>
            </w:r>
            <w:proofErr w:type="spellEnd"/>
            <w:r>
              <w:rPr>
                <w:rFonts w:ascii="PT Astra Serif" w:hAnsi="PT Astra Serif"/>
                <w:color w:val="252625"/>
                <w:szCs w:val="24"/>
              </w:rPr>
              <w:t xml:space="preserve">, п. </w:t>
            </w:r>
            <w:proofErr w:type="spellStart"/>
            <w:r>
              <w:rPr>
                <w:rFonts w:ascii="PT Astra Serif" w:hAnsi="PT Astra Serif"/>
                <w:color w:val="252625"/>
                <w:szCs w:val="24"/>
              </w:rPr>
              <w:t>Шатск</w:t>
            </w:r>
            <w:proofErr w:type="spellEnd"/>
            <w:r>
              <w:rPr>
                <w:rFonts w:ascii="PT Astra Serif" w:hAnsi="PT Astra Serif"/>
                <w:szCs w:val="24"/>
              </w:rPr>
              <w:t>);</w:t>
            </w:r>
          </w:p>
          <w:p w:rsidR="009F3F59" w:rsidRDefault="004675B8">
            <w:pPr>
              <w:widowControl w:val="0"/>
              <w:shd w:val="clear" w:color="auto" w:fill="FFFFFF"/>
              <w:rPr>
                <w:sz w:val="20"/>
              </w:rPr>
            </w:pPr>
            <w:r>
              <w:rPr>
                <w:rFonts w:ascii="PT Astra Serif" w:hAnsi="PT Astra Serif"/>
                <w:szCs w:val="24"/>
              </w:rPr>
              <w:t xml:space="preserve">К№ </w:t>
            </w:r>
            <w:r>
              <w:rPr>
                <w:rFonts w:ascii="PT Astra Serif" w:hAnsi="PT Astra Serif"/>
                <w:szCs w:val="24"/>
              </w:rPr>
              <w:t>71:14:021001:808 (</w:t>
            </w:r>
            <w:r>
              <w:rPr>
                <w:rFonts w:ascii="PT Astra Serif" w:hAnsi="PT Astra Serif"/>
                <w:szCs w:val="24"/>
              </w:rPr>
              <w:t>Тульская область, Ленинский район, с/</w:t>
            </w:r>
            <w:proofErr w:type="gramStart"/>
            <w:r>
              <w:rPr>
                <w:rFonts w:ascii="PT Astra Serif" w:hAnsi="PT Astra Serif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Cs w:val="24"/>
              </w:rPr>
              <w:t>Шатское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, п. </w:t>
            </w:r>
            <w:proofErr w:type="spellStart"/>
            <w:r>
              <w:rPr>
                <w:rFonts w:ascii="PT Astra Serif" w:hAnsi="PT Astra Serif"/>
                <w:szCs w:val="24"/>
              </w:rPr>
              <w:t>Шатск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) </w:t>
            </w:r>
          </w:p>
        </w:tc>
      </w:tr>
    </w:tbl>
    <w:p w:rsidR="009F3F59" w:rsidRDefault="009F3F59">
      <w:pPr>
        <w:rPr>
          <w:rFonts w:ascii="PT Astra Serif" w:hAnsi="PT Astra Serif"/>
          <w:b/>
          <w:sz w:val="28"/>
        </w:rPr>
      </w:pPr>
    </w:p>
    <w:sectPr w:rsidR="009F3F59">
      <w:footerReference w:type="default" r:id="rId7"/>
      <w:pgSz w:w="11906" w:h="16838"/>
      <w:pgMar w:top="1134" w:right="567" w:bottom="1134" w:left="113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B8" w:rsidRDefault="004675B8">
      <w:r>
        <w:separator/>
      </w:r>
    </w:p>
  </w:endnote>
  <w:endnote w:type="continuationSeparator" w:id="0">
    <w:p w:rsidR="004675B8" w:rsidRDefault="0046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F59" w:rsidRDefault="009F3F59">
    <w:pPr>
      <w:pStyle w:val="ad"/>
      <w:jc w:val="both"/>
      <w:rPr>
        <w:sz w:val="22"/>
      </w:rPr>
    </w:pPr>
  </w:p>
  <w:p w:rsidR="009F3F59" w:rsidRDefault="009F3F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B8" w:rsidRDefault="004675B8">
      <w:r>
        <w:separator/>
      </w:r>
    </w:p>
  </w:footnote>
  <w:footnote w:type="continuationSeparator" w:id="0">
    <w:p w:rsidR="004675B8" w:rsidRDefault="00467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59"/>
    <w:rsid w:val="004675B8"/>
    <w:rsid w:val="009F3F59"/>
    <w:rsid w:val="00C2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er1">
    <w:name w:val="Footer1"/>
    <w:qFormat/>
  </w:style>
  <w:style w:type="character" w:customStyle="1" w:styleId="21">
    <w:name w:val="Основной текст с отступом 21"/>
    <w:link w:val="BodyTextIndent21"/>
    <w:qFormat/>
  </w:style>
  <w:style w:type="character" w:customStyle="1" w:styleId="Header1">
    <w:name w:val="Header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ac">
    <w:name w:val="Колонтитул"/>
    <w:qFormat/>
    <w:pPr>
      <w:jc w:val="both"/>
    </w:pPr>
    <w:rPr>
      <w:rFonts w:ascii="XO Thames" w:hAnsi="XO Thames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Indent21">
    <w:name w:val="Body Text Indent 21"/>
    <w:basedOn w:val="a"/>
    <w:link w:val="21"/>
    <w:qFormat/>
    <w:pPr>
      <w:spacing w:after="120" w:line="480" w:lineRule="auto"/>
      <w:ind w:left="283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1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0"/>
    <w:qFormat/>
    <w:rPr>
      <w:rFonts w:ascii="Segoe UI" w:hAnsi="Segoe UI"/>
      <w:sz w:val="18"/>
    </w:rPr>
  </w:style>
  <w:style w:type="paragraph" w:styleId="af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0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er1">
    <w:name w:val="Footer1"/>
    <w:qFormat/>
  </w:style>
  <w:style w:type="character" w:customStyle="1" w:styleId="21">
    <w:name w:val="Основной текст с отступом 21"/>
    <w:link w:val="BodyTextIndent21"/>
    <w:qFormat/>
  </w:style>
  <w:style w:type="character" w:customStyle="1" w:styleId="Header1">
    <w:name w:val="Header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ac">
    <w:name w:val="Колонтитул"/>
    <w:qFormat/>
    <w:pPr>
      <w:jc w:val="both"/>
    </w:pPr>
    <w:rPr>
      <w:rFonts w:ascii="XO Thames" w:hAnsi="XO Thames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Indent21">
    <w:name w:val="Body Text Indent 21"/>
    <w:basedOn w:val="a"/>
    <w:link w:val="21"/>
    <w:qFormat/>
    <w:pPr>
      <w:spacing w:after="120" w:line="480" w:lineRule="auto"/>
      <w:ind w:left="283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1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0"/>
    <w:qFormat/>
    <w:rPr>
      <w:rFonts w:ascii="Segoe UI" w:hAnsi="Segoe UI"/>
      <w:sz w:val="18"/>
    </w:rPr>
  </w:style>
  <w:style w:type="paragraph" w:styleId="af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0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LeonovaSV</dc:creator>
  <cp:lastModifiedBy>LeonovaSV</cp:lastModifiedBy>
  <cp:revision>2</cp:revision>
  <dcterms:created xsi:type="dcterms:W3CDTF">2026-04-24T10:09:00Z</dcterms:created>
  <dcterms:modified xsi:type="dcterms:W3CDTF">2026-04-24T10:09:00Z</dcterms:modified>
  <dc:language>ru-RU</dc:language>
</cp:coreProperties>
</file>